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содержания судебных актов следует, что суды, отказывая в удовлетворении заявленных требований, всесторонне исследовали доказательства по делу, установили необходимые для разрешения спора 2 обстоятельства, дали надлежащую правовую оценку доводам заявителей со ссылкой на положения норм действующего законодательства применительно к установленным фактическим обстоятельствам дела.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«Автодор» и Ивановой Дарьи Вячеславовны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