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руководствуясь положениями действующего законодательства, регулирующего спорные правоотношения, исследовав 2 и оценив представленные в материалы дела доказательства, исходя из установленных фактических обстоятельств, пришли к выводу об отсутствии на стороне ответчика неосновательного обогащения.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30.05.2023 заявителю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Москвы.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«Больверк» для рассмотрения в судебном заседании Судебной коллегии по экономическим спорам Верховного Суда Российской Федерации отказать. Взыскать с общества с ограниченной ответственностью «Больверк» в доход федерального бюджета 3000 (три тысячи) рублей государственной пошлины за подачу кассационной жалобы. Поручить Арбитражному суду города Москвы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