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суды пришли к выводу о наличии оснований 2 для удовлетворения первоначального иска (с учетом применения к процентам за пользование чужими денежными средствами последствий введенного государственными органами моратория) и отказа в удовлетворении встречных требований, исходя из установленных обстоятельств выполнения субподрядчиком работ, отсутствия мотивированного отказа генподрядчика от приемки результата работ, ненадлежащего исполнения последним обязательств по оплате выполненных работ и несоблюдения им установленного законом и договором порядка предъявления требования субподрядчику об устранении недостатков.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«ТимерханСтрой»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