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Частично удовлетворяя иск и подтверждая правильность этого вывода, суды,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пришли к выводу о наличии оснований для применения 2 к ответчику меры ответственности в виде неустойки, снизив ее размер по правилам статьи 333 Гражданского кодекса Российской Федерации.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Непейвода Евгения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