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июля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2 доказательства, руководствуясь положениями гражданского законодательства, регулирующего спорные правоотношения, исходили из недоказанности истцом совокупности условий, необходимых для привлечения ответчика к ответственности в виде взыскания убытков.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регионального фонда капитального ремонта многоквартирных домов на территории Красноярского края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