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2 Принимая обжалуемые судебные акты, суды, исследовав и оценив представленные в материалы дела доказательства, руководствуясь положениями гражданского законодательства и законодательства, регулирующего обращение с твердыми коммунальными отходами (далее – ТКО) и порядок их коммерческого учета объема и (или) массы, исходил из подтвержденности факта оказания истцом ответчику в спорный период услуг по обращению с ТКО на условиях типового договора и их неоплаты последним.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Скокленева Сергея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