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117, пунктах 2, 3 статьи 291.2 Арбитражного процессуального кодекса Российской Федерации. Оценив доводы, изложенные в ходатайстве заявителя, суд признает причины пропуска срока подачи кассационной жалобы уважительными. В связи с чем, ходатайство подлежит удовлетворению. Руководствуясь статьями 117, 184,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 восстановлении пропущенного процессуального срока подачи кассационной жалобы. 2 Восстановить срок подачи кассационной жалобы Мазурова Дмитрия Петровича на определение Арбитражного суда города Москвы от 02.12.2022, постановление Девятого арбитражного апелляционного суда от 27.02.2023 и постановление Арбитражного суда Московского округа от 10.05.2023 по делу № А40-216654/2019. Судья Верховного Суда Букина И.А.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