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Частично удовлетворяя заявление о взыскании судебных расходов и подтверждая правильность этого вывода, суды, исследовав и оценив представленные в материалы дела доказательства, руководствуясь положениями действующего процессуального законодательства, исходили 2 из доказанности несения ответчиком по первоначальному иску судебных расходов, соответствия их размера в удовлетворенной части принципу разумности с учетом характера, степени сложности спора и объема оказанных представителем услуг. Приведенные в кассационной жалобе доводы были предметом рассмотрения судов и получили правовую оценку, не опровергают выводы судов, не подтверждают нарушений судами норм права 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«СтройХимПроект»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