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представленные в материалы дела доказательства, руководствуясь положениями гражданского законодательства, регулирующего спорные правоотношения, принимая во внимание стоимость выполненных 2 субсубподрядчиком работ и сумму перечисленных ему субподрядчиком денежных средств в рамках договора субподряда, а также направление последним в адрес субсубподрядчика уведомления о расторжении договора, суды пришли к выводу об отсутствии у субподрядчика задолженности перед субсубподрядчиком и наличии на его стороне неосновательного обогащения в виде неотработанного аванса, в связи с чем отказали в удовлетворении первоначального иска и удовлетворили встречные требования. Из содержания судебных актов следует, что суды всесторонне исследовали доказательства по делу, установили необходимые для разрешения спора обстоятельства и дали надлежащую правовую оценку доводам заявителя.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Поскольку в передаче кассационной жалобы для рассмотрения в судебном заседании Судебной коллегии Верховного Суда Российской Федерации отказано, ходатайство о приостановлении исполнения обжалуемых судебных актов рассмотрению не подлежит.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«Адамант»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