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убытков в размере 1 378 000 рублей, составляющих разницу между определённой обществом стоимостью объекта недвижимости (квартиры) на дату введения конкурсного производства и суммой уплаченных за него должнику денежных средств. Определением Арбитражного суда Московской области от 03.10.2022, оставленным без изменения постановлениями Десятого арбитражного апелляционного суда от 16.12.2022 и Арбитражного суда Московского округа от 02.03.2023,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Материалы дела истребованы из Арбитражного суда Московской области. Основанием для отмены или изменения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2 публичных интересов (часть 1 статьи 291.11 Арбитражного процессуального кодекса Российской Федерации). При изучении доводов кассационной жалобы по материалам истребованного дела,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Федерации. Как установлено судами и следует из материалов дела, 19.07.2018 между должником и обществом заключен договор участия в долевом строительстве № 7/8/406, по условиям которого должник обязался передать обществу жилое помещение – квартиру № 406, площадью 38,5 кв.м., секция 8, этаж 7, расположенную по адресу: Московская область, городской округ Химки, микрорайон Ивакино. Обязательства по оплате исполнены обществом в полном объёме (путём оплаты должнику 1 818 000 рублей), однако в установленный договором срок (27.12.2018) квартира обществу не передана. 16.10.2019 возбуждено дело о несостоятельности (банкротстве) должника по заявлению Комитета по управлению имуществом Администрации городского округа Химки Московской области. 22.07.2020 должник признан банкротом, в отношении него введена процедура конкурсного производства. 24.06.2022 требования общества в размере 1 818 000 рублей основного долга, 229 280 рублей 10 копеек неустойки признаны обоснованными и подлежащими удовлетворению за счёт имущества должника, оставшегося после удовлетворения требований реестровых кредиторов. Обстоятельство пропуска заявителем срока для включения данных требований в реестр никем из участвующих в деле лиц, включая самим обществом, не оспаривается. Обращаясь с настоящим заявлением в суд, общество просило включить в реестр сумму убытков, возникших вследствие неисполнения должником своих обязательств по передаче квартиры. Размер убытков – 1 378 000 рублей представляет собой разницу между её рыночной стоимостью на дату введения в отношении должника конкурсного производства (3 196 000 рублей согласно отчёту об оценке от 09.02.2022 № р-01-02, подготовленному для заявителя акционерным обществом «РентКонтракт») и уплаченной по договору долевого участия суммой денежных средств. Разрешая спор, суды, руководствуясь подпунктом 4 пункта 1 статьи 201.1 Федерального закона от 26.10.2002 № 127-ФЗ «О несостоятельности (банкротстве)» (далее – Закон о банкротстве), исходили из отсутствия причин для удовлетворения заявления общества ввиду исключения законодателем из понятия «участник строительства» упоминания о юридических лицах для целей применения специальных правил о банкротстве застройщиков. В поданной кассационной жалобе заявитель настаивает на ошибочности сделанных судами выводов. Полагает, что судами не применены нормы права, подлежащие применению (статья 15 Гражданского кодекса Российской Федерации, пункт 2 статьи 201.5 Закона о банкротстве, статья 10 Федерального закона от 30.12.2004 № 214-ФЗ «Об участии в долевом строительстве 3 многоквартирных домов и иных объектов недвижимости и о внесении изменений в некоторые законодательные акты Российской Федерации» (далее – Закон об участии в долевом строительстве)). Заявитель считает, что отсутствие в Законе о банкротстве нормы права, регулирующей отношения с дольщиком – юридическим лицом, отсутствие у заявителя статуса «участника строительства», не исключает возможность применения к спорным правоотношениями общих норм гражданского законодательства о взыскании убытков в связи с ненадлежащим исполнением застройщиком обязательств перед ним. Приведенные заявителем в кассационной жалобе доводы заслуживают внимания и требуют проверки в судебном заседании, поэтому настоящую жалобу с делом следует передать на рассмотрение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«ОЗФ Групп»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17 августа 2023 года на 14 часов 00 минут, в помещении суда по адресу: Москва, улица Поварская, дом 15 зал № 3048 (подъезд 5).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