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Саркисян А.А. обратился в суд с заявлением о пересмотре по вновь открывшимся обстоятельствам определения Арбитражного суда Хабаровского края от 16.10.2019 о включении в реестр требований кредиторов должника требования общества с ограниченной ответственностью «ПромАльянс» о передаче жилых помещений. Определением Арбитражного суда Хабаровского края от 28.11.2022, оставленным без изменения постановлениями Шестого арбитражного апелляционного суда от 07.02.2023 и Арбитражного суда Дальневосточного округа от 03.04.2023, отказано в удовлетворении заявления о пересмотре судебного акта. В кассационных жалобах, поданных в Верховный Суд Российской Федерации, заявители просят отменить указанные судебные акты и удовлетворить заявление.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кассационных жалоб, дополнений к ним, отзывов Саркисяна А.А. и Лазуткиной О.В., возражений жилищно-строительного кооператива «Рубин» и возражений заявителей на данные возражения таких оснований не установлено. Отказывая в удовлетворении заявления, суд первой инстанции, руководствуясь положениями статей 309 и 311 Арбитражного процессуального кодекса Российской Федерации, исходил из того, что представленные заявителем сведения и доказательства не могут служить основанием для пересмотра судебного акта. Суды апелляционной инстанции и округа согласились с выводами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