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суды удовлетворили первоначальный иск, исходя 2 из доказанности факта оказания истцом (исполнитель) услуг по договору и наличия на стороне ответчика (заказчик) неисполненного обязательства по их оплате, а также отказали в удовлетворении встречных требований ввиду их необоснованности и документальной неподтвержденности.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«МСК Продакшн»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