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об оказании юридической помощи, заключённого должником с Московской коллегией адвокатов «Герасименко и партнеры»; перечисления коллегии адвокатов денежных средств в размере 10 031 835 рублей 33 копейки; применения последствий недействительности сделок в виде взыскания с коллегии адвокатов в пользу должника перечисленных денежных средств. Определением Арбитражного суда Московской области от 25.07.2022, оставленным без изменения постановлениями Десятого арбитражного апелляционного суда от 14.11.2022 и Арбитражного суда Московского округа от 14.03.2023 в удовлетворении заявления отказано. В кассационной жалобе, поданной в Верховный Суд Российской Федерации, заявитель просит отменить оспариваемые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168, 170, 421, 424 Гражданского кодекса Российской Федерации, статей 61.1, 61.3 Федерального закона от 26.10.2002 № 127-ФЗ «О несостоятельности (банкротстве)», установив, что оспариваемая сделка и совершенные на её основании платежи в пользу незаинтересованного лица, не имела пороков, выходящих за пределы дефектов подозрительных сделок, а также недоказанности иных обстоятельств, необходимых для признания спорных платежей недействительными, отказали в удовлетворении требований конкурсного управляющего. Выводы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получили надлежащую правовую оценку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