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Возражения заявителя со ссылкой на неправомерное определение судами вида ответственности, подлежащего возложению на поставщика, не могут служить безусловным основанием для отмены принятых судебных актов, поскольку данное обстоятельство не привело к принятию неверного решения по существу спора. Суды учли, что факт поставки ответчиком вертолета ненадлежащего качества документально не подтвержден и опровергается материалами дела, в связи с чем отсутствует нарушение договорных обязательств со стороны поставщика. Иные доводы кассационной жалобы направлены на переоценку доказательств и установление иных обстоятельств по делу, отличных от установленных судами, что не входит в полномочия кассационной инстанции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"АльфаСтрахование" (подробнее) АО Альфастрахование Нижегородский филиал (подробнее) Ответчики: АО "Вертолеты России" (подробнее) Иные лица: ФЕДЕРАЛЬНОЕ АВТОНОМНОЕ УЧРЕЖДЕНИЕ "ГОСУДАРСТВЕННЫЙ НАУЧНО-ИССЛЕДОВАТЕЛЬСКИЙ ИНСТИТУТ АВИАЦИОННЫХ СИСТЕМ"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