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Иное толкование заявителем жалобы норм материального права не свидетельствует о неправильном применении их судами с учетом установленных обстоятельств дела.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Челябинской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Ответчики: Управление Федеральной антимонопольной службы по Челябинской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