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индивидуальный предприниматель ФИО2 обратился в суд с заявлением о включении его требований в реестр требований кредиторов должника (далее – реестр). Определением Арбитражного суда города Москвы от 04.10.2022, оставленным без изменения постановлениями Девятого арбитражного апелляционного суда от 12.12.2022 и Арбитражного суда Московского округа от 10.03.2023, признаны обоснованными и подлежащими включению в третью очередь реестра требования ФИО2 в размере 53 524 317 рублей 54 копейки основного долга и 184 809 рублей расходов по оплате госпошлины.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города Москвы.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71 и 100 Федерального закона от 26.10.2002 № 127-ФЗ «О несостоятельности (банкротстве)», пришли к выводу об обоснованности и подтверждённости требований ФИО2 к должнику и, как следствие, наличие оснований для их включения в третью очередь реестра.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"ИУК БИЗНЕС" (подробнее) ООО "Контест" (подробнее) ООО "НИО Барс" (подробнее) ООО "ОСК 1520 (подробнее) ООО "Электросвязьмонтаж" (подробнее) ООО "Эпоха Возрождения" (подробнее) Ответчики: ООО "Стройинтеграция"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