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судом округа норм права, просит пересмотреть указанный судебный акт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Отменяя судебные акты судов первой и апелляционной инстанций и направляя дело на новое рассмотрение, суд округа, не принимая судебного акта по существу спора, исходил из того, что суды неполно исследовали фактические обстоятельства дела, не дали оценку всем представленным доказательствам и доводам ответчика. 2 Обжалуемое постановление суда округа принято в пределах полномочий, предоставленных арбитражному суду округа (статьи 286, 287 Арбитражного процессуального кодекса Российской Федерации).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Федерации, не имеется.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Аристова Арсения Вячеславовича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