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«ГС Констракшен» (далее – общество) обратилось в Арбитражный суд города Москвы с заявлением к Департаменту природопользования и охраны окружающей среды г. Москвы (далее – административный орган) о признании незаконным и отмене постановления от 24.11.2021 № 1307-1453/2021 о привлечении к административной ответственности, предусмотренной статьей 4.46 Кодекса города Москвы об административных правонарушениях (далее – КоАП Москвы). Решением Арбитражного суда города Москвы от 05.04.2022, оставленным без изменения постановлением Девятого арбитражного 2 апелляционного суда от 17.08.2022, обществу отказано в удовлетворении заявления. Арбитражный суд Московского округа постановлением от 19.01.2023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24.11.2021 № 1307-1453/2021 общество привлечено к административной ответственности, предусмотренной статьей 4.46 КоАП Москвы, с назначением наказания в виде административного штрафа в размере 300 000 рублей. Не согласившись с указанным постановлением административного органа, общество оспорило его в арбитражном суде. Рассматривая настоящий спор, оценив представленные в материалы дела доказательства и установив, что в ночное время 17.07.2021 в период с 05:13 до 05:18 на строительной площадке общества производились работы, сопровождаемые повышенным уровнем шума, с превышением установленных нормативов допустимых уровней шума, которые являются обязательными для всех организаций и юридических лиц на территории Российской Федерации, независимо от форм собственности, подчинения и принадлежности и физических лиц, независимо от гражданства, суды пришли к выводу о наличии в действиях общества состава административного правонарушения, ответственность за которое установлена статьей 4.46 КоАП Москвы.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3 выводу о правомерности оспариваемого постановления административного органа и отказали обществу в удовлетворении заявления. Нарушений порядка привлечения общества к административной ответственности суды не установили. Срок давности привлечения к административной ответственности за правонарушение, предусмотренное статьей 4.46 КоАП Москвы, составляет один год. Как следует из материалов дела об административном правонарушении, допущенное обществом превышение установленных нормативов допустимых уровней шума является нарушением требований Федерального закона от 10.01.2002 № 7-ФЗ «Об охране окружающей среды», Санитарных норм СанПиН 1.2.3685-21 «Гигиенические нормативы и требования к обеспечению безопасности и (или) безвредности для человека факторов среды обитания».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наличием в действиях общества состава вмененного правонарушения.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