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 взыскании судебных расходов с банка в размере 100 000 рублей по обособленному спору по заявлению банка о привлечении к субсидиарной ответственности по обязательствам должника ФИО1 и взыскании с последнего 20 745 927 рублей 25 копеек убытков. Определением Арбитражного суда Челябинской области от 11.04.2022, оставленным без изменения постановлениями Восемнадцатого арбитражного апелляционного суда от 15.11.2022 и Арбитражного суда Уральского округа от 27.02.2023, заявление удовлетворено частично; с банка в пользу ФИО1 взыскано 50 000 рублей в счёт возмещения судебных расходов на оплату услуг представителя. В кассационной жалобе, поданной в Верховный Суд Российской Федерации, заявитель просит отменить названные судебные акты. Исходя из содержания настоящей жалобы, заявитель не согласен с названными судебными актами в части удовлетворения требований.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 первой инстанции, руководствуясь положениями статей 110 и 112 Арбитражного процессуального кодекса Российской Федерации, пришёл к выводу о наличии оснований для восстановления пропущенного срока на предъявление настоящих требований и обоснованности заявленных требований в части, не превышающей 50 000 рублей, удовлетворив требования в указанном размере. Суды апелляционной инстанции и округа поддержали выводы суда первой инстанции, обоснованно отклонив доводы заявителя об отсутствии оснований для восстановления срока.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АКБ "Славия" (подробнее) АО "АИЖК" (подробнее) АО "Кошелев-Банк" (подробнее) АО "УППО" (подробнее) ООО КБ "Русский ипотечный банк" (подробнее) ООО "Многофункциональный центр "Моя ипотека" (подробнее) ООО "Русэнерготрейд" (подробнее) ПАО "Челябинвестбанк" (подробнее) Ответчики: ООО "Сервисное ипотечное агентство межрегиональное" (подробнее) Иные лица: АО АКЦИОНЕРНЫЙ КОММЕРЧЕСКИЙ БАНК "СЛАВИЯ" (подробнее) МИФНС №16 по Челябинской области (подробнее) ПАО АКЦИОНЕРНЫЙ ЧЕЛЯБИНСКИЙ ИНВЕСТИЦИОННЫЙ БАНК "ЧЕЛЯБИНВЕСТБАНК" (подробнее) ПАО СТРАХОВАЯ КОМПАНИЯ "РОСГОССТРАХ" (подробнее) Управление Росреестра по Челябинской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