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соответствующую правовую оценку. Иное толкование заявителем жалобы норм материального права не свидетельствует о неправильном применении их судами с учетом установленных фактических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управлению муниципальным имуществом Усть-Кутского муниципального образования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Комитет по управлению муниципальным имуществом Усть-Кутского муниципального образования (подробнее) Ответчики: Управление Федеральной антимонопольной службы по Иркутской области (подробнее) Иные лица: Усть-Кутский городской суд Иркутской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