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необходимую правовую оценку. Иное толкование заявителем жалобы норм материального права не свидетельствует о неправильном применении их судами с учетом установленных фактических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«Таможенно-брокерский консалтинг»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"Таможенно-брокерский консалтинг" (подробнее) Ответчики: Межрайонная инспекция Федеральной налоговой службы №10 по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