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 целом доводы кассационной жалобы являлись предметом рассмотрения судов и получили правовую оценку с учетом установленных обстоятельств дела. Несогласие с выводами судов, вытекающее из доводов кассационной жалобы,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Темрюкского городского поселения Темрюкского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Темрюкского городского поселения (подробнее) Ответчики: Управление Федеральной антимонопольной службы по Краснодарскому краю (подробнее) Иные лица: УФАС по КК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