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Шаврина Александра Александровича определением Арбитражного суда Курганской области от 31.10.2022 процедура реализации имущества должника завершена, должник освобожден от дальнейшего исполнения требований кредиторов. Постановлением Восемнадцатого арбитражного апелляционного суда от 02.02.2023 определение суда первой инстанции оставлено без изменения. Арбитражный суд Уральского округа постановлением от 10.05.2023 указанные судебные акты оставил без изменения. АО «Россельхозбанк» обратилось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Завершая процедуру реализации имущества должника, суды руководствовались положениями статей 213.2, 213.25, 213.28 Федерального закона от 26.10.2002 № 127-ФЗ «О несостоятельности (банкротстве)», разъяснениями, изложенными в пунктах 45 и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проведения необходимых мероприятий по выявлению и реализации имущества должника и отсутствия возможности пополнения конкурсной массы, признали наличие возможности применения в отношении должника правил об освобождении от исполнения обязательств, не усмотрев в действиях должника недобросовестного поведения, умышленного уклонения от исполнения обязательств перед кредитором, не установив признаков преднамеренного и фиктивного банкротства.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