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18.11.2022, оставленным без изменения постановлением Седьмого арбитражного апелляционного суда от 20.01.2023 и постановлением Арбитражного суда Западно-Сибирского округа от 06.04.2023, процедура реализации имущества ФИО1 завершена; в отношении должника не применены правила об освобождении от дальнейшего исполнения обязательств. Должник обратился в Судебную коллегию по экономическим спорам Верховного Суда Российской Федерации с кассационной жалобой на принятые судебные акты в части неприменения правил об освобождении от дальнейшего исполнения требований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МКК "Авантаж" (подробнее) ООО "Югорское коллекторское агентство" (подробнее) ПАО "МТС-Банк" (подробнее) ПАО НАЦИОНАЛЬНЫЙ БАНК "ТРАСТ" (подробнее) ПАО "Сбербанк России" в лице Алтайского отделения №8644 (подробнее) ФНС России УФНС России по Республике Алтай в лице (подробнее) Иные лица: НП СРО АУ "Евросиб" (подробнее) Управление Федеральной налоговой службы по Республике Алтай (подробнее) Управление Федеральной службы государственной регистрации, кадастра и картографии по Республике Алтай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