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«Стоунтрансснаб» обратилось в Арбитражный суд города Москвы с иском о взыскании с ООО «Сани Транс» 1 296 000 рублей штрафа и 60 000 рублей расходов на оплату услуг представителя. Решением Арбитражного суда города Москвы от 21.09.2022 иск удовлетворен в части взыскания 648 000 рублей штрафа и 60 000 рублей судебных расходов на оплату услуг представителя. Постановлением Девятого арбитражного апелляционного суда от 01.12.2022 решение суда первой инстанции оставлено без изменения. Арбитражный суд Московского округа постановлением от 22.03.2023 указанные судебные акты оставил без изменения. ООО «Сани 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простоя автотранспортных средств истца по вине заказчика, руководствуясь положениями статей 309 , 310 , 329 , 330 Гражданского кодекса Российской Федерации, суды пришли к выводу об обоснованности иска, уменьшив размер подлежащего взысканию штрафа по правилам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"СТОУНТРАНССНАБ" (подробнее) ООО "СТОУНТРАНССНАБ", 7720410660 (подробнее) Ответчики: ООО "САНИ ТРАНС"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