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29 июня 2023 г. по делу № А40-164062/2022 Верховный Суд Российской Федерации - Административное Суть спора: об оспаривании ненормативных правовых актов, решений и действий (бездействия) антимонопольных органов 79059_2037394 ВЕРХОВНЫЙ СУД РОССИЙСКОЙ ФЕДЕРАЦИИ ОПРЕДЕЛЕНИЕ № 305-ЭС23-10309 г. Москва 29.06.2023 Судья Верховного Суда Российской Федерации Антонова М. К., изучив кассационные жалобы общества с ограниченной ответственностью «Газета «Краснодарские известия», общества с ограниченной ответственностью «Муниципальная телерадиокомпания «Краснодар» и муниципального казенного учреждения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заявителями жалоб норм материального права не свидетельствует о неправильном применении их судом округа с учетом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«Газета «Краснодарские известия», обществу с ограниченной ответственностью «Муниципальная телерадиокомпания «Краснодар» и муниципальному казенному учреждению муниципального образования город Краснодар «Учреждение по обеспечению деятельности органов местного самоуправления муниципального образования город Краснодар»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казённое учреждение муниципального образования город Краснодар "Учреждение по обеспечению деятельности органов местного самоуправления муниципального образования город Краснодар" (подробнее) Ответчики: Федеральная антимономольная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