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18.11.2022, оставленным без изменения постановлением Арбитражного суда Волго-Вятского округа от 28.03.2023,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25.05.2022.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