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18.11.2022, оставленным без изменения постановлением Арбитражного суда Волго-Вятского округа от 28.03.2023,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