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июня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определением Второго арбитражного апелляционного суда от 23.11.2022, оставленным без изменения постановлением Арбитражного суда Волго-Вятского округа от 28.03.2023, отказано в удовлетворении заявления Соколова Н.М. о принятии дополнительного постановления по жалобе на определение Арбитражного суда Костромской области от 10.06.2022. В кассационной жалобе, поданной в Верховный Суд Российской Федерации, заявитель выражает несогласие с указанными судебными актами. Основаниями для отмены или изменения Судебной коллегией Верховного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2 Отказывая в удовлетворении заявления о принятии дополнительного постановления, апелляционный суд, руководствуясь положениями статьи 178 Арбитражного процессуального кодекса Российской Федерации, исходил из отсутствия причин для удовлетворения требований по заявленным основаниям. Суд округа поддержал выводы апелляционного суда. Выводы судов соответствуют нормам права, оснований для переоценки этих выводов не имеется. Нарушений норм процессуального права, влекущих за собой безусловную отмену обжалуемых судебных актов, судами не допущено.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