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01.12.2022, оставленным без изменения постановлением Арбитражного суда Волго- Вятского округа от 20.03.2023,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