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21.11.2022, оставленным без изменения постановлением Второго арбитражного апелляционного суда от 20.01.2023, производство по делу прекращено, компании из федерального бюджета возвращена государственная пошлина в размере 18 610 рублей. Арбитражный суд Волго-Вятского округа постановлением от 24.04.2023 изменил решение от 21.11.2022 и постановление апелляционного суда от 20.01.2023: возвратил компании из федерального бюджета 688 рублей государственной пошлины за подачу искового заявления, взыскал с ответчиков солидарно в пользу компании 25 631 рубль судебных расходов по уплате государственной пошлины за подачу искового заявления и 6 000 рублей – за подачу апелляционной и кассационной жалоб. В кассационной жалобе общество просит об отмене постановления окружного суда, ссылаясь на нарушение пределов рассмотрения дела, неуказание правового основания для солидарной ответственности.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возникновение спора из обязательства вследствие причинения вреда и предъявление компанией иска к ответчикам как совместно причинившим вред. В силу пункта 2 статьи 1064 Гражданского кодекса Российской Федерации действует презумпция вины причинителя вреда, которая сохранилась и после отказа компании от иска в полном объеме, не связанного с ненадлежащим его предъявлением. Окружной суд в порядке статей 286 - 288 Арбитражного процессуального кодекса Российской Федерации изменил судебные акты нижестоящих судов в связи с неправильным применением статей 1064 , 1080 Гражданского кодекса о солидарной ответственности ответчиков. Окружной суд правомерно указал, что размер ответственности каждого ответчика должен определяться в споре между ними по правилам статьи 325 , пункта 2 статьи 1081 Гражданского кодекса, предусматривающим ответственность в зависимости от степени вины.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«Промышленный железнодорожный транспорт № 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"Новая перевозочная компания" (подробнее) Ответчики: ООО "Промышленный железнодорожный транспорт №2" (подробнее) Иные лица: Арбитражный суд Волго-Вятского округа (подробнее) Второй Арбитражный апелляционный суд (подробнее) Судьи дела: Ксенофонтова Н.А. (судья) Судебная практика по: Ответственность за причинение вреда, залив квартиры Судебная практика по применению нормы ст. 1064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