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19.09.2022, оставленным без изменения постановлением Десятого арбитражного апелляционного суда от 15.12.2022 и постановлением Арбитражного суда Московского округа от 13.03.2023, в удовлетворении заявления ФИО1 отказано, обеспечительные меры отменены. В кассационной жалобе ФИО1 просит об отмене судебных актов, указывая на добросовестное приобретение имущества и создание взамен нового, не принадлежащего должнику и не подлежащего включению в его конкурсную массу.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Спорное имущество включено в конкурсную массу в качестве последствия признания судом недействительной сделки по его приобретению заявителем и реализовано в целях удовлетворения требований к должнику, что препятствует восстановлению прав заявителя заявленным способом.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Замараев.А.А (подробнее) Мамажонова Махфузахон Шукуржон кизи (подробнее) Махфузахон Шукуржон Кизи Мамажоновна (подробнее) ООО "Энергосервис" (подробнее) ПАО Банк ВТБ (подробнее) ПАО "Транскапиталбанк" (подробнее) Саморегулируемая организация арбитражных управляющих "Развитие"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