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представила в суд отчёт о своей деятельности и заявила ходатайство о завершении конкурсного производства. Определением Арбитражного суда Чувашской Республики от 20.06.2022, оставленным без изменения постановлениями Первого арбитражного апелляционного суда от 11.10.2022 и Арбитражного суда Волго–Вятского округа от 01.03.2023, принят отчёт конкурсного управляющего; производство в отношении должника завершено; полномочия ФИО1 прекращены. В кассационной жалобе, поданной в Верховный Суд Российской Федерации, заявитель просит отменить оспариваемые судебные акты, конкурсное производство возобновить.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Завершая конкурсное производство в отношении должника, суды, руководствуясь статьями 147 , 149 Федерального закона от 26.10.2002 № 127-ФЗ «О несостоятельности (банкротстве)», приняв во внимание отчёт конкурсного управляющего, пришли к выводу, что необходимые мероприятия в рамках процедуры банкротства выполнены, у должника отсутствуют средства для погашения требований кредиторов и дальнейшее продление срока конкурсного производства нецелесообразно. Выводы судов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"Управление механизации "Байконур-Чебоксары" (подробнее) Ответчики: ООО "Жилищно-эксплуатационное управление "Байконур-Чебоксары" (подробнее) Иные лица: Байрамов Илгар Бабахан Оглы (подробнее) НП "СРО АУ "Альянс" (подробнее) ООО "Байконур-Сервис" (подробнее) ООО "Вертикаль" (подробнее) ООО Консалтинговый центр "Содействие" (подробнее) ООО Рыжову А.Н. Консалтинговый центр "Содействие" (подробнее) ПЕРВЫЙ АРБИТРАЖНЫЙ АПЕЛЛЯЦИОННЫЙ СУД (подробнее) Управление по вопросам миграции по г.Москва и Московской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