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заявителя жалобы, изложенные в судебных актах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В целом доводы кассационной жалобы являлись предметом рассмотрения судов и получили правовую оценку с учетом установленных обстоятельств дела,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"КРОЗ" (подробнее) Ответчики: ИНСПЕКЦИЯ МИНИСТЕРСТВА РОССИЙСКОЙ ФЕДЕРАЦИИ ПО НАЛОГАМ И СБОРАМ №26 ПО ЮЖНОМУ АМИНИСТРАТИВНОМУ ОКРУГУ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