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«ГУД ФУД» обратилось в Арбитражный суд города Москвы с иском о взыскании с ООО «Автолайф» 1 662 280 рублей убытков, причиненных порчей груза при его перевозке. Решением Арбитражного суда города Москвы от 22.09.2022 иск удовлетворен. Постановлением Девятого арбитражного апелляционного суда от 02.12.2022 решение суда первой инстанции оставлено без изменения. Арбитражный суд Московского округа постановлением от 27.02.2023 указанные судебные акты оставил без изменения. ООО «АвтоЛайф»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 несоответствие температурного режима в ходе перевозки, установив ненадлежащее исполнение перевозчиком обязательств по перевозке товара, повлекшее порчу перевозимых овощей, отсутствие доказательств того, что порча груза произошла вследствие обстоятельств, которые перевозчик не мог предотвратить и устранение которых от него не зависело, руководствуясь положениями статей 15, 393, 401, 801, 803 Гражданского кодекса Российской Федерации, Федерального закона от 30.06.2003 № 87-ФЗ «О транспортно-экспедиционной деятельности», суды пришли к выводу об обоснованности иска. Нарушений или неправильного применения норм процессуального права, в том числе при рассмотрении ходатайств о фальсификации доказательств и назначении почерковедческой экспертизы,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