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28.12.2022, оставленным без изменения определением окружного суда от 10.03.2023,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фактически оно является несогласием с выводами, изложенными в судебном акте, направлено на изменение содержания судебного акта,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