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26 июня 2023 г. по делу № А32-11136/2022 Верховный Суд Российской Федерации - Гражданское Суть спора: о неисполнении или ненадлежащем исполнении обязательств по договорам подряда 79059_2033914 ВЕРХОВНЫЙ СУД РОССИЙСКОЙ ФЕДЕРАЦИИ ОПРЕДЕЛЕНИЕ № 308-ЭС23-10028 г. Москва 26.06.2023 Судья Верховного Суда Российской Федерации Антонова М. К., изучив кассационную жалобу департамента транспорта и дорожного хозяйства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по результатам оценки представленных доказательств, выраженное в доводах жалобы и направленное, по сути, на переоценку данных доказательств, установление новых обстоятельств по делу, учитывая полномочия Судебной коллегии Верховного Суда Российской Федерации, определенные статьей 29114 Арбитражного процессуального кодекса Российской Федерации, не может служить основанием для отмены либо изменения обжалуемых судебных актов.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транспорта и дорожного хозяйства администрации муниципального образования города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"Алькор" (подробнее) Ответчики: ДЕПАРТАМЕНТ ТРАНСПОРТА И ДОРОЖНОГО ХОЗЯЙСТВА АДМИНИСТРАЦИИ МУНИЦИПАЛЬНОГО ОБРАЗОВАНИЯ ГОРОД КРАСНОДАР (подробнее) Иные лица: Департамент транспорта и дорожного хозяйства Администрации МО г. Краснодар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