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«Лентал» обратилось в Арбитражный суд Сахалинской области с исковым заявлением к обществу с ограниченной ответственностью «Суперион» о взыскании 271 197 919 руб. задолженности по договору генерального строительного подряда от 06.10.2014 № 10/14 и процентов за пользование чужими денежными средствами до момента фактического исполнения обязательства. Решением Арбитражного суда Сахалинской области от 02.07.2019 исковые требования удовлетворены. ФИО1 (далее – ФИО1) – лицо, не участвующее в деле, в порядке статьи 42 Арбитражного процессуального кодекса Российской Федерации обратился в Пятый арбитражный апелляционный суд с апелляционной жалобой. Пятый арбитражный апелляционный суд определением от 25.09.2019 прекратил производство по апелляционной жалобе ФИО1 применительно к пункту 1 части 1 статьи 150 Арбитражного процессуального кодекса Российской Федерации. Арбитражный суд Дальневосточного округа постановлением от 08.11.2019 оставил без изменения определение суда апелляционной инстанции. В кассационной жалобе, поданной в Верховный Суд Российской Федерации, ФИО1 просит отменить определение суда апелляционной инстанции и постановление суда округа, ссылаясь на их незаконность.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доводам кассационной жалобы не установлено.Суд апелляционной инстанции, прекращая производство по апелляционной жалобе ФИО1, руководствовался положениями статей 42 , 150 , 257 Арбитражного процессуального кодекса Российской Федерации, разъяснениями, изложенными в пунктах 1, 2 постановления Пленума Высшего Арбитражного Суда Российской Федерации от 28.05.2009 № 36 «О применении Арбитражного процессуального кодекса Российской Федерации при рассмотрении дел в арбитражном суде апелляционной инстанции», и исходил из отсутствия у данного лица права на обжалование решения суда первой инстанции, поскольку судебный акт не принят о его правах и обязанностях. Суд округа поддержал выводы суда апелляционной инстанции, отметив, что наличие у лица, не привлеченного к участию в деле, заинтересованности в исходе дела само по себе не наделяет его правом на обжалование судебного акта. Доводы кассационной жалобы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Судьи дела: Чучунова Н.С. (судья) (подробнее) Последние документы по делу: Определение от 26 июня 2023 г. по делу № А59-8407/2018 Определение от 17 ноября 2020 г. по делу № А59-8407/2018 Определение от 13 марта 2020 г. по делу № А59-8407/2018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