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в котором просил вынести частное определение об обнаружении в действиях конкурсного управляющего должником ФИО2 признаков преступления, предусмотренного статьей 303 Уголовного кодекса Российской Федерации, и сообщить об этом в органы дознания или предварительного следствия по территориальной подведомственности. При новом рассмотрении (после отмены постановлением Десятого арбитражного апелляционного суда от 22.12.2021 ранее принятого Арбитражным судом Московской области определения от 09.11.2021 о возврате заявления), суд первой инстанции определением от 05.03.2022 отказал в удовлетворении заявления о вынесении частного определения. Не согласившись с определением суда первой инстанции от 05.03.2022, заявитель обратился в Десятый арбитражный апелляционный суд с апелляционной жалобой. Постановлением Десятого арбитражного апелляционного суда от 23.05.2022, оставленным без изменения постановлением Арбитражного суда Московского округа от 11.07.2022, производство по апелляционной жалобе заявителя прекращено на основании пункта 1 части 1 статьи 150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статьями 150 , 188 . 188.1 Арбитражного процессуального кодекса Российской Федерации, абзацем вторым пункта 4, абзацем третьим пункта 6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того, что она подана не на частное определение, а на определение об отказе в удовлетворении ходатайства о вынесении частного определения, возможность обжалования которого нормами процессуального права не предусмотрена.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Производство по настоящей жалобе в части обжалования определения Арбитражного суда Московской области от 05.03.2022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пунктом 1 части 2 статьи 291.1 Арбитражного процессуального кодекса Российской Федерации, как поданная с нарушением правил инстанционной подсудности.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Десятого арбитражного апелляционного суда от 23.05.2022 и постановления Арбитражного суда Московского округа от 11.07.2022 по делу № А41-54847/2018. Производство по кассационной жалобе ФИО1 в части обжалования определения Арбитражного суда Московской области от 05.03.2022 по тому же делу прекратить. Судья Верховного Суда Российской Федерации Е.С. Корнелюк Суд: Верховный Суд РФ (подробнее) Истцы: ИФНС г. Ногинск (подробнее) ИФНС по г Ногинску МО МО (подробнее) ООО "Акваинжиниринг" (подробнее) ООО К/У "Прагматик Бот" Ишутин В.Ю. (подробнее) Ответчики: ООО "ПРАГМАТИК БОТ" (подробнее) Иные лица: НП СРО ГАУ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