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сделками платежей в пользу общества с ограниченной ответственностью «КСД-Сервис» (далее – общество) на сумму 30 421 600 рублей, совершенных с августа по декабрь 2017 года, а также о применении последствий недействительности сделок. Определением Арбитражного суда города Москвы от 11.02.2021, оставленным без изменения постановлениями Девятого арбитражного апелляционного суда от 10.06.2021 и Арбитражного суда Московского округа от 23.08.2021,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19 и 61.2 Федерального закона от 26.10.2002 № 127-ФЗ «О несостоятельности (банкротстве)», исходили из недоказанности наличия причин для удовлетворения требований конкурного управляющего должником по заявленным основаниям, указав, в том числе на предоставление надлежащих доказательств реальности оказания услуг обществом должнику.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«Абсолют сервис»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 Последние документы по делу: Определение от 8 февраля 2023 г. по делу № А40-263951/2019 Определение от 18 февраля 2022 г. по делу № А40-263951/2019 Определение от 3 декабря 2021 г. по делу № А40-263951/2019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