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обратилось в Арбитражный суд Тамбовской области с иском, уточненным в порядке статьи 49 Арбитражного процессуального кодекса Российской Федерации, к ООО «ТамбовБизнесСтрой» об урегулировании разногласий, возникших при заключении договора на эксплуатацию железнодорожного пути необщего пользования № 5/453, в том числе по условиям о ежесуточной плате за пользование путем и порядке ее внесения (пп. «б» п. 13, пп. «б» п. 14). К участию в деле в деле в качестве третьих лиц, не заявляющих самостоятельных требований относительно предмета спора, привлечены ООО «Промресурс», ООО «Промрезерв», ООО «Промлогистик», ИП ФИО1, УФАС по Тамбовской области, Федеральная служба государственной регистрации, кадастра и картографии по Тамбовской области. Решением Арбитражного суда Тамбовской области от 06.06.2022, оставленным без изменения постановлением Девятнадцатого арбитражного апелляционного суда от 18.10.2022 и постановлением Арбитражного суда Центрального округа от 22.02.2023, разрешены разногласия, возникшие при заключении договора, оспариваемые пункты приняты в редакции ОАО «РЖД». ООО «ТамбовБизнесСтрой»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421 , 422 , 424 , 432 , 445 , 446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Правилами эксплуатации и обслуживания железнодорожных путей необщего пользования, утвержденными приказом МПС России от 18.06.2003 № 26, и признали предложенную перевозчиком редакцию спорных пунктов договора соответствующей нормам действующего законодательства, а размер платы – экономически обоснованным.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Ответчики: ООО "ТамбовБизнесСтрой" (подробнее) Иные лица: 19 Арбитражный апелляционный суд (подробнее) АНО "Негосударственное объединение экспертов "Содействие" (подробнее) Арбитражный суд Центрального округа (подробнее) ФГБОУ ВО "Петербургский государственный университет путей сообщения Императора Александра I" (подробнее) Судьи дела: Зарубина Е.Н. (судья)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