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13.09.2022, оставленным без изменения постановлением Пятнадцатого арбитражного апелляционного суда от 24.11.2022 и постановлением Арбитражного суда Северо-Кавказского округа от 07.03.2023, заявление удовлетворено. В кассационной жалобе ФИО1 просит об отмене судебных актов, ссылаясь на формальный подход к рассмотрению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права на имущество должника переданы ответчику после возбуждения дела о банкротстве, что повлекло предпочтительное удовлетворение требований ответчика перед требованиями кредитора, инициировавшего признание состоявшейся передачи недействительной. Довод ответчика о наличии у него предпочтения, определяемого сроком возникновения обязательства, является ошибочным в ситуации неплатежеспособности должника. Ссылка судов на различные пункты статьи 61.3 Федерального закона от 26.10.2002 № 127-ФЗ «О несостоятельности (банкротстве)» не является нарушением, учитывая установление в одном их них условий недействительности, во втором – срока совершения попадающей под них сделки.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Назаров Станислав Александрович (подробнее) Иные лица: МИФНС №11 по КК (подробнее) ф/у Нагорному И.В. (подробнее) ф/у Нагорный И.В.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