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22.09.2022 процедура реализации имущества должника завершена, ФИО1 освобождена от дальнейшего исполнения обязательств перед кредиторами. Постановлением Седьмого арбитражного апелляционного суда от 23.01.2023, оставленным без изменения постановлением Арбитражного суда Западно-Сибирского от 11.04.2023, определение от 22.09.2022 отменено в части: в отношении должника не применены правила об освобождении от дальнейшего исполнения обязательств перед ФИО2. В кассационной жалобе ФИО1 просит о пересмотре судебных актов апелляционного и окружного судов, ссылаясь на неосновательное вменение недобросовестности.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признал неправильное применение судом первой инстанции к установленным обстоятельствам возникновения не сложенной задолженности правил об освобождении от исполнения обязательств, поэтому правомерно отменил определение. Иная оценка заявителем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"Альфа-Банк" (подробнее) МИФНС России №16 по Алтайскому краю. (подробнее) ООО "ФИНАНСОВАЯ ГРАМОТНОСТЬ" (подробнее) ПАО Сибирский банк Сбербанк (подробнее) Иные лица: АССОЦИАЦИЯ АРБИТРАЖНЫХ УПРАВЛЯЮЩИХ "ЦЕНТР ФИНАНСОВОГО ОЗДОРОВЛЕНИЯ ПРЕДПРИЯТИЙ АГРОПРОМЫШЛЕННОГО КОМПЛЕКСА" (подробнее) Управление Росреестра по Алтайскому краю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