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Московской области от 16.09.2022, оставленным без изменения постановлением Десятого арбитражного апелляционного суда от 22.11.2022 и постановлением Арбитражного суда Московского округа от 29.03.2023, в удовлетворении заявления отказано. В кассационной жалобе Фоноберов В.С. просит об отмене судебных актов, ссылаясь на неосновательный отказ во взыскании судебных расходов.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Обжалуемые судебные акты соответствуют статьям 101, 106, 110 Арбитражного процессуального кодекса Российской, их судебному толкованию и обстоятельствам обособленного спора.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Фоноберову Владимиру Степановичу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