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Саратовской области от 17.10.2022 заявление удовлетворено в полном объеме. Двенадцатый арбитражный апелляционный суд постановлением от 08.12.2022 отменил определение от 17.10.2022 и удовлетворил заявление частично. Арбитражный суд Поволжского округа постановлением от 01.03.2023 оставил без изменения постановление апелляционного суда от 08.12.2022. В кассационной жалобе ФИО1 просит отменить судебные акты апелляционного и окружного судов в части отказа в исключении из конкурсной массы денежных средств на оплату аренды жилья как незаконные и необоснованные.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ситуации наличия у должника в собственности квартиры и недостаточности заработка для пополнения конкурсной массы апелляционный суд признал требование о расходах на аренду жилья не соответствующим статье 446 Гражданского процессуального кодекса Российской Федерации и статье 213.25 Федерального закона от 26.10.2002 № 127-ФЗ «О несостоятельности (банкротстве)». Приведенные в жалобе доводы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Н.А. Ксенофонтова Суд: Верховный Суд РФ (подробнее) Иные лица: Арбитражный суд Поволжского округа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