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09.01.2023, оставленным без изменения определением того же суда от 22.02.2023, жалоба Орлова В.К. на определение Арбитражного суда Ивановской области от 26.04.2022 и постановление Второго арбитражного апелляционного суда от 22.08.2022 возвращена в связи с пропуском срока подачи и отказом в восстановлении срока. В кассационной жалобе Орлов В.К.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 округа оценил приведенную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Орлову Владимиру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