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21.03.2022, оставленным без изменения постановлением Девятого арбитражного апелляционного суда от 07.12.2022 и постановлением Арбитражного суда Московского округа от 27.02.2023, заявление удовлетворено. В кассационной жалобе ФИО1 просит об отмене судебных актов, ссылаясь на неправильную оценку обстоятельств и цели заключения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обстоятельства заключения договора и признали их создающими условия для недействительности сделки в силу статей 10 , 168 , 170 Гражданского кодекса Российской Федерации. Требуемая переоценка обстоятельств совершения сделки не попадает под основания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 Банк Русский Стандарт " (подробнее) АО "Райффайзенбанк" (подробнее) ИФНС 35 (подробнее) ООО "Феникс" (подробнее) ПАО " Сбербанк России" (подробнее) Иные лица: Ассоциации "МСРО АУ" (подробнее) Ассоциации "СРО АУ "Южный Урал" (подробнее) Ассоциация СРО "ЦААУ" (подробнее) ЕОО РОССИЙСКИЙ СОЮЗ АВТОСТРАХОВЩИКОВ (подробнее) Нанаа Мохаммед Мазен Ахмад Джалил (подробнее) НП "СРО АУ "ЛИГА" (подробнее) ПАО Банк ВТБ (подробнее) САУ "Возрождение" (подробнее) САУ СРО "ДЕЛО"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