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30.08.2022, оставленным без изменения постановлением Девятого арбитражного апелляционного суда от 21.11.2022 и постановлением Арбитражного суда Московского округа от 21.02.2023, заявление удовлетворено. В кассационной жалобе Пляхтур М.А. просит об отмене судебных актов, ссылаясь на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Заявление об уменьшении неустойки рассмотрено в соответствии с компетенцией, следующей из статьи 333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Пляхтуру Максиму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