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25.01.2022 в удовлетворении заявления отказано. Постановлением Десятого арбитражного апелляционного суда от 01.06.2022, оставленным без изменения постановлением Арбитражного суда Московского округа от 04.04.2023, определение от 25.01.2022 отменено, заявление удовлетворено. В кассационной жалобе общество просит об отмене судебных актов апелляционного и окружного судов, ссылаясь на нарушение его прав как кредитора супруга должника, имеющего право на половину исключенной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залогового статуса реализованной квартиры за счет вырученной от продажи суммы требования иных, кроме залогового, кредиторов удовлетворению не подлежат, поэтому образовавшаяся положительная разница исключена на приобретение для должника и его супруга жилья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«Юридическое бюро «ФАКТОРИУС»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АКБ РОСБАНК (подробнее) АО "Юридическое Бюро ФАКТОРИУС" (подробнее) Ассоциация РСОПАУ (подробнее) ООО "АЙДИ КОЛЛЕКТ" (подробнее) ПАО Банк ВТБ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