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июня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кассационной жалобе, поданной в Верховный Суд Российской Федерации, заявитель, ссылаясь на нарушение судами норм материального и процессуального права, просит пересмотреть указанные судебные акты в кассационном порядке.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Отказывая в удовлетворении иска и подтверждая правильность этого вывода, суды, исследовав и оценив представленные в материалы дела 2 доказательства, руководствуясь положениями гражданского законодательства, регулирующего спорные правоотношения, исходили из недоказанности истцом совокупности условий, необходимых для привлечения ответчиков к ответственности в виде возмещения убытков. Из содержания судебных актов следует, что суды всесторонне исследовали доказательства по делу, установили необходимые для разрешения спора обстоятельства, дали надлежащую правовую оценку доводам заявителя со ссылкой на положения норм действующего законодательства применительно к установленным фактическим обстоятельствам дела. Доводы кассационной жалобы не подтверждают существенных нарушений судами норм материального и процессуального права, повлиявших на исход дела, и в силу статьи 291.6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«Экин»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